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D034" w14:textId="246D6F46" w:rsidR="003622DB" w:rsidRPr="00E37C08" w:rsidRDefault="00F17B09" w:rsidP="003622DB">
      <w:pPr>
        <w:spacing w:after="60"/>
        <w:jc w:val="center"/>
        <w:rPr>
          <w:rFonts w:ascii="Candara" w:hAnsi="Candara"/>
          <w:b/>
          <w:bCs/>
        </w:rPr>
      </w:pPr>
      <w:r>
        <w:rPr>
          <w:rFonts w:ascii="Candara" w:hAnsi="Candara"/>
          <w:b/>
          <w:bCs/>
        </w:rPr>
        <w:t>DETEKTOR GLUPOSTI</w:t>
      </w:r>
    </w:p>
    <w:p w14:paraId="695F6607" w14:textId="3DB8D404" w:rsidR="003622DB" w:rsidRDefault="003622DB" w:rsidP="003622DB">
      <w:pPr>
        <w:spacing w:after="60"/>
        <w:rPr>
          <w:rFonts w:ascii="Candara" w:hAnsi="Candara"/>
        </w:rPr>
      </w:pPr>
    </w:p>
    <w:p w14:paraId="7F325CAB" w14:textId="15F2D6B7" w:rsidR="00F17B09" w:rsidRPr="006E1AE5" w:rsidRDefault="0037116D" w:rsidP="006E1AE5">
      <w:pPr>
        <w:shd w:val="clear" w:color="auto" w:fill="E2EFD9" w:themeFill="accent6" w:themeFillTint="33"/>
        <w:spacing w:after="60"/>
        <w:rPr>
          <w:rFonts w:ascii="Candara" w:hAnsi="Candara"/>
          <w:b/>
          <w:bCs/>
        </w:rPr>
      </w:pPr>
      <w:r w:rsidRPr="006E1AE5">
        <w:rPr>
          <w:rFonts w:cstheme="minorHAnsi"/>
          <w:noProof/>
        </w:rPr>
        <mc:AlternateContent>
          <mc:Choice Requires="wps">
            <w:drawing>
              <wp:anchor distT="182880" distB="182880" distL="182880" distR="182880" simplePos="0" relativeHeight="251659264" behindDoc="0" locked="0" layoutInCell="1" allowOverlap="1" wp14:anchorId="5ED8D71B" wp14:editId="193DA831">
                <wp:simplePos x="0" y="0"/>
                <wp:positionH relativeFrom="page">
                  <wp:posOffset>914197</wp:posOffset>
                </wp:positionH>
                <wp:positionV relativeFrom="margin">
                  <wp:posOffset>1011555</wp:posOffset>
                </wp:positionV>
                <wp:extent cx="5647055" cy="2830830"/>
                <wp:effectExtent l="0" t="0" r="0" b="7620"/>
                <wp:wrapSquare wrapText="bothSides"/>
                <wp:docPr id="118" name="Pravokutnik s jednim odsječenim kutom 118"/>
                <wp:cNvGraphicFramePr/>
                <a:graphic xmlns:a="http://schemas.openxmlformats.org/drawingml/2006/main">
                  <a:graphicData uri="http://schemas.microsoft.com/office/word/2010/wordprocessingShape">
                    <wps:wsp>
                      <wps:cNvSpPr/>
                      <wps:spPr>
                        <a:xfrm>
                          <a:off x="0" y="0"/>
                          <a:ext cx="5647055" cy="283083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6E96B622" w14:textId="039EB740" w:rsidR="00F17B09" w:rsidRDefault="006E1AE5" w:rsidP="00F17B09">
                            <w:pPr>
                              <w:jc w:val="both"/>
                              <w:rPr>
                                <w:color w:val="222A35" w:themeColor="text2" w:themeShade="80"/>
                              </w:rPr>
                            </w:pPr>
                            <w:r w:rsidRPr="006E1AE5">
                              <w:rPr>
                                <w:color w:val="222A35" w:themeColor="text2" w:themeShade="80"/>
                              </w:rPr>
                              <w:t>Organizacija provodi interni audit jednom godišnje jer norma uvijek zahtijeva točno jedan audit godišnje. Program audita izrađuje direktor bez sudjelovanja odgovornih osoba. Auditor mora biti vanjska osoba jer zaposlenici nikada ne mogu biti nepristrani. Auditor ne smije auditirati vlastiti rad, što je važno pravilo objektivnosti. Ako je laboratorij mali, interni audit nije potreban. Rezultati prethodnih audita mogu se koristiti pri planiranju budućih audita. Interni audit služi prvenstveno traženju krivca za pogreške. Nalazi audita trebaju biti dokumentirani i priopćeni relevantnim osobama. Ako tijekom audita nema nesukladnosti, audit se smatra neuspješnim. Opseg audita može se temeljiti na riziku i važnosti procesa. Auditor mora imati tehničko znanje o procesu koji auditira. Svaki audit mora trajati najmanje dva radna dana prema ISO pravilima.</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D71B" id="Pravokutnik s jednim odsječenim kutom 118" o:spid="_x0000_s1026" style="position:absolute;margin-left:1in;margin-top:79.65pt;width:444.65pt;height:222.9pt;z-index:251659264;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5647055,283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" adj="-11796480,,5400" path="m,l5175241,r471814,471814l5647055,2830830,,2830830,,xe" fillcolor="#8496b0 [1951]" stroked="f" strokeweight="1pt">
                <v:fill opacity="13107f" color2="#d5dce4 [671]" o:opacity2="13107f" rotate="t" focus="100%" type="gradient">
                  <o:fill v:ext="view" type="gradientUnscaled"/>
                </v:fill>
                <v:stroke joinstyle="miter"/>
                <v:formulas/>
                <v:path arrowok="t" o:connecttype="custom" o:connectlocs="0,0;5175241,0;5647055,471814;5647055,2830830;0,2830830;0,0" o:connectangles="0,0,0,0,0,0" textboxrect="0,0,5647055,2830830"/>
                <v:textbox inset="18pt,7.2pt,0,7.2pt">
                  <w:txbxContent>
                    <w:p w14:paraId="6E96B622" w14:textId="039EB740" w:rsidR="00F17B09" w:rsidRDefault="006E1AE5" w:rsidP="00F17B09">
                      <w:pPr>
                        <w:jc w:val="both"/>
                        <w:rPr>
                          <w:color w:val="222A35" w:themeColor="text2" w:themeShade="80"/>
                        </w:rPr>
                      </w:pPr>
                      <w:r w:rsidRPr="006E1AE5">
                        <w:rPr>
                          <w:color w:val="222A35" w:themeColor="text2" w:themeShade="80"/>
                        </w:rPr>
                        <w:t xml:space="preserve">Organizacija provodi interni audit jednom godišnje jer norma uvijek zahtijeva točno jedan audit godišnje. Program audita izrađuje direktor bez sudjelovanja odgovornih osoba. Auditor mora biti vanjska osoba jer zaposlenici nikada ne mogu biti nepristrani. Auditor ne smije </w:t>
                      </w:r>
                      <w:proofErr w:type="spellStart"/>
                      <w:r w:rsidRPr="006E1AE5">
                        <w:rPr>
                          <w:color w:val="222A35" w:themeColor="text2" w:themeShade="80"/>
                        </w:rPr>
                        <w:t>auditirati</w:t>
                      </w:r>
                      <w:proofErr w:type="spellEnd"/>
                      <w:r w:rsidRPr="006E1AE5">
                        <w:rPr>
                          <w:color w:val="222A35" w:themeColor="text2" w:themeShade="80"/>
                        </w:rPr>
                        <w:t xml:space="preserve"> vlastiti rad, što je važno pravilo objektivnosti. Ako je laboratorij mali, interni audit nije potreban. Rezultati prethodnih audita mogu se koristiti pri planiranju budućih audita. Interni audit služi prvenstveno traženju krivca za pogreške. Nalazi audita trebaju biti dokumentirani i priopćeni relevantnim osobama. Ako tijekom audita nema nesukladnosti, audit se smatra neuspješnim. Opseg audita može se temeljiti na riziku i važnosti procesa. Auditor mora imati tehničko znanje o procesu koji </w:t>
                      </w:r>
                      <w:proofErr w:type="spellStart"/>
                      <w:r w:rsidRPr="006E1AE5">
                        <w:rPr>
                          <w:color w:val="222A35" w:themeColor="text2" w:themeShade="80"/>
                        </w:rPr>
                        <w:t>auditira</w:t>
                      </w:r>
                      <w:proofErr w:type="spellEnd"/>
                      <w:r w:rsidRPr="006E1AE5">
                        <w:rPr>
                          <w:color w:val="222A35" w:themeColor="text2" w:themeShade="80"/>
                        </w:rPr>
                        <w:t>. Svaki audit mora trajati najmanje dva radna dana prema ISO pravilima.</w:t>
                      </w:r>
                    </w:p>
                  </w:txbxContent>
                </v:textbox>
                <w10:wrap type="square" anchorx="page" anchory="margin"/>
              </v:shape>
            </w:pict>
          </mc:Fallback>
        </mc:AlternateContent>
      </w:r>
      <w:r w:rsidR="00F17B09" w:rsidRPr="006E1AE5">
        <w:rPr>
          <w:rFonts w:ascii="Candara" w:hAnsi="Candara"/>
          <w:b/>
          <w:bCs/>
        </w:rPr>
        <w:t>1. INTERNI AUDIT</w:t>
      </w:r>
    </w:p>
    <w:p w14:paraId="3873FE69" w14:textId="0D2D17B3" w:rsidR="006E1AE5" w:rsidRPr="006E1AE5" w:rsidRDefault="006E1AE5" w:rsidP="0037116D">
      <w:pPr>
        <w:rPr>
          <w:rFonts w:cstheme="minorHAnsi"/>
          <w:b/>
          <w:bCs/>
        </w:rPr>
      </w:pPr>
    </w:p>
    <w:p w14:paraId="556C0A84" w14:textId="13F91CCD" w:rsidR="006E1AE5" w:rsidRPr="006E1AE5" w:rsidRDefault="006E1AE5" w:rsidP="006E1AE5">
      <w:pPr>
        <w:shd w:val="clear" w:color="auto" w:fill="E2EFD9" w:themeFill="accent6" w:themeFillTint="33"/>
        <w:spacing w:after="60"/>
        <w:rPr>
          <w:rFonts w:ascii="Candara" w:hAnsi="Candara"/>
          <w:b/>
          <w:bCs/>
        </w:rPr>
      </w:pPr>
      <w:r>
        <w:rPr>
          <w:rFonts w:ascii="Candara" w:hAnsi="Candara"/>
          <w:b/>
          <w:bCs/>
        </w:rPr>
        <w:t>2.</w:t>
      </w:r>
      <w:r w:rsidRPr="006E1AE5">
        <w:rPr>
          <w:rFonts w:ascii="Candara" w:hAnsi="Candara"/>
          <w:b/>
          <w:bCs/>
        </w:rPr>
        <w:t xml:space="preserve"> </w:t>
      </w:r>
      <w:r>
        <w:rPr>
          <w:rFonts w:ascii="Candara" w:hAnsi="Candara"/>
          <w:b/>
          <w:bCs/>
        </w:rPr>
        <w:t>HRN EN ISO/IEC 17020</w:t>
      </w:r>
    </w:p>
    <w:p w14:paraId="0431000A" w14:textId="62222661" w:rsidR="006E1AE5" w:rsidRPr="006E1AE5" w:rsidRDefault="0037116D" w:rsidP="006E1AE5">
      <w:pPr>
        <w:rPr>
          <w:rFonts w:cstheme="minorHAnsi"/>
          <w:b/>
          <w:bCs/>
        </w:rPr>
      </w:pPr>
      <w:r w:rsidRPr="006E1AE5">
        <w:rPr>
          <w:rFonts w:cstheme="minorHAnsi"/>
          <w:noProof/>
        </w:rPr>
        <mc:AlternateContent>
          <mc:Choice Requires="wps">
            <w:drawing>
              <wp:anchor distT="182880" distB="182880" distL="182880" distR="182880" simplePos="0" relativeHeight="251661312" behindDoc="0" locked="0" layoutInCell="1" allowOverlap="1" wp14:anchorId="3D9E53FF" wp14:editId="34444600">
                <wp:simplePos x="0" y="0"/>
                <wp:positionH relativeFrom="page">
                  <wp:posOffset>914146</wp:posOffset>
                </wp:positionH>
                <wp:positionV relativeFrom="margin">
                  <wp:posOffset>4984090</wp:posOffset>
                </wp:positionV>
                <wp:extent cx="5647055" cy="2669540"/>
                <wp:effectExtent l="0" t="0" r="0" b="0"/>
                <wp:wrapSquare wrapText="bothSides"/>
                <wp:docPr id="266119329" name="Pravokutnik s jednim odsječenim kutom 118"/>
                <wp:cNvGraphicFramePr/>
                <a:graphic xmlns:a="http://schemas.openxmlformats.org/drawingml/2006/main">
                  <a:graphicData uri="http://schemas.microsoft.com/office/word/2010/wordprocessingShape">
                    <wps:wsp>
                      <wps:cNvSpPr/>
                      <wps:spPr>
                        <a:xfrm>
                          <a:off x="0" y="0"/>
                          <a:ext cx="5647055" cy="266954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5D941A22" w14:textId="40AA038C" w:rsidR="006E1AE5" w:rsidRDefault="006E1AE5" w:rsidP="006E1AE5">
                            <w:pPr>
                              <w:jc w:val="both"/>
                              <w:rPr>
                                <w:color w:val="222A35" w:themeColor="text2" w:themeShade="80"/>
                              </w:rPr>
                            </w:pPr>
                            <w:r w:rsidRPr="006E1AE5">
                              <w:rPr>
                                <w:color w:val="222A35" w:themeColor="text2" w:themeShade="80"/>
                              </w:rPr>
                              <w:t>Inspekcijsko tijelo tipa A smije pružati projektiranje opreme koju kasnije pregledava ako o tome obavijesti klijenta. Nepristranost je jedno od temeljnih načela norme. Rizici za nepristranost trebaju se trajno identificirati i pratiti. Inspektor može donositi odluke pod komercijalnim pritiskom ako klijent to pismeno zatraži. Tijelo mora raspolagati kompetentnim osobljem. Vanjski suradnici mogu se koristiti uz odgovarajuću kontrolu. Sve inspekcije moraju biti provedene od najmanje dva inspektora istovremeno. Zapisi o inspekciji trebaju omogućiti sljedivost rada. Povjerljivost informacija važna je obveza. Ako klijent inzistira, usmeni izvještaj može zamijeniti sve zapise. Inspekcijske metode trebaju biti definirane. Korištenje softvera ili AI alata ne oslobađa tijelo odgovornosti za rezultat.</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53FF" id="_x0000_s1027" style="position:absolute;margin-left:1in;margin-top:392.45pt;width:444.65pt;height:210.2pt;z-index:251661312;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5647055,2669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" adj="-11796480,,5400" path="m,l5202123,r444932,444932l5647055,2669540,,2669540,,xe" fillcolor="#8496b0 [1951]" stroked="f" strokeweight="1pt">
                <v:fill opacity="13107f" color2="#d5dce4 [671]" o:opacity2="13107f" rotate="t" focus="100%" type="gradient">
                  <o:fill v:ext="view" type="gradientUnscaled"/>
                </v:fill>
                <v:stroke joinstyle="miter"/>
                <v:formulas/>
                <v:path arrowok="t" o:connecttype="custom" o:connectlocs="0,0;5202123,0;5647055,444932;5647055,2669540;0,2669540;0,0" o:connectangles="0,0,0,0,0,0" textboxrect="0,0,5647055,2669540"/>
                <v:textbox inset="18pt,7.2pt,0,7.2pt">
                  <w:txbxContent>
                    <w:p w14:paraId="5D941A22" w14:textId="40AA038C" w:rsidR="006E1AE5" w:rsidRDefault="006E1AE5" w:rsidP="006E1AE5">
                      <w:pPr>
                        <w:jc w:val="both"/>
                        <w:rPr>
                          <w:color w:val="222A35" w:themeColor="text2" w:themeShade="80"/>
                        </w:rPr>
                      </w:pPr>
                      <w:r w:rsidRPr="006E1AE5">
                        <w:rPr>
                          <w:color w:val="222A35" w:themeColor="text2" w:themeShade="80"/>
                        </w:rPr>
                        <w:t>Inspekcijsko tijelo tipa A smije pružati projektiranje opreme koju kasnije pregledava ako o tome obavijesti klijenta. Nepristranost je jedno od temeljnih načela norme. Rizici za nepristranost trebaju se trajno identificirati i pratiti. Inspektor može donositi odluke pod komercijalnim pritiskom ako klijent to pismeno zatraži. Tijelo mora raspolagati kompetentnim osobljem. Vanjski suradnici mogu se koristiti uz odgovarajuću kontrolu. Sve inspekcije moraju biti provedene od najmanje dva inspektora istovremeno. Zapisi o inspekciji trebaju omogućiti sljedivost rada. Povjerljivost informacija važna je obveza. Ako klijent inzistira, usmeni izvještaj može zamijeniti sve zapise. Inspekcijske metode trebaju biti definirane. Korištenje softvera ili AI alata ne oslobađa tijelo odgovornosti za rezultat.</w:t>
                      </w:r>
                    </w:p>
                  </w:txbxContent>
                </v:textbox>
                <w10:wrap type="square" anchorx="page" anchory="margin"/>
              </v:shape>
            </w:pict>
          </mc:Fallback>
        </mc:AlternateContent>
      </w:r>
    </w:p>
    <w:p w14:paraId="51ABF294" w14:textId="77777777" w:rsidR="006E1AE5" w:rsidRDefault="006E1AE5">
      <w:pPr>
        <w:rPr>
          <w:rFonts w:cstheme="minorHAnsi"/>
        </w:rPr>
      </w:pPr>
      <w:r>
        <w:rPr>
          <w:rFonts w:cstheme="minorHAnsi"/>
        </w:rPr>
        <w:br w:type="page"/>
      </w:r>
    </w:p>
    <w:p w14:paraId="06752596" w14:textId="0712D979" w:rsidR="006E1AE5" w:rsidRPr="006E1AE5" w:rsidRDefault="006E1AE5" w:rsidP="006E1AE5">
      <w:pPr>
        <w:shd w:val="clear" w:color="auto" w:fill="E2EFD9" w:themeFill="accent6" w:themeFillTint="33"/>
        <w:spacing w:after="60"/>
        <w:rPr>
          <w:rFonts w:ascii="Candara" w:hAnsi="Candara"/>
          <w:b/>
          <w:bCs/>
        </w:rPr>
      </w:pPr>
      <w:r w:rsidRPr="006E1AE5">
        <w:rPr>
          <w:rFonts w:cstheme="minorHAnsi"/>
          <w:noProof/>
        </w:rPr>
        <w:lastRenderedPageBreak/>
        <mc:AlternateContent>
          <mc:Choice Requires="wps">
            <w:drawing>
              <wp:anchor distT="182880" distB="182880" distL="182880" distR="182880" simplePos="0" relativeHeight="251663360" behindDoc="0" locked="0" layoutInCell="1" allowOverlap="1" wp14:anchorId="36F46A9C" wp14:editId="0309ED78">
                <wp:simplePos x="0" y="0"/>
                <wp:positionH relativeFrom="page">
                  <wp:posOffset>892175</wp:posOffset>
                </wp:positionH>
                <wp:positionV relativeFrom="margin">
                  <wp:posOffset>470535</wp:posOffset>
                </wp:positionV>
                <wp:extent cx="5647055" cy="2640330"/>
                <wp:effectExtent l="0" t="0" r="0" b="7620"/>
                <wp:wrapSquare wrapText="bothSides"/>
                <wp:docPr id="791295050" name="Pravokutnik s jednim odsječenim kutom 118"/>
                <wp:cNvGraphicFramePr/>
                <a:graphic xmlns:a="http://schemas.openxmlformats.org/drawingml/2006/main">
                  <a:graphicData uri="http://schemas.microsoft.com/office/word/2010/wordprocessingShape">
                    <wps:wsp>
                      <wps:cNvSpPr/>
                      <wps:spPr>
                        <a:xfrm>
                          <a:off x="0" y="0"/>
                          <a:ext cx="5647055" cy="264033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C85FB32" w14:textId="72444533" w:rsidR="006E1AE5" w:rsidRDefault="006E1AE5" w:rsidP="006E1AE5">
                            <w:pPr>
                              <w:jc w:val="both"/>
                              <w:rPr>
                                <w:color w:val="222A35" w:themeColor="text2" w:themeShade="80"/>
                              </w:rPr>
                            </w:pPr>
                            <w:r w:rsidRPr="006E1AE5">
                              <w:rPr>
                                <w:color w:val="222A35" w:themeColor="text2" w:themeShade="80"/>
                              </w:rPr>
                              <w:t xml:space="preserve">Laboratorij mora osigurati nepristranost svojih aktivnosti. Povjerljivost informacija klijenata treba štititi. Ako je oprema skupa, nije ju potrebno umjeravati jer proizvođač jamči točnost. Laboratorij treba koristiti validirane ili verificirane metode kada je primjenjivo. Mjerna nesigurnost računa se samo kada rezultat nije dobar. Zapisi trebaju biti čitljivi i dostupni kada je potrebno. Ako zaposlenik ima veliko iskustvo, osposobljavanje nije potrebno dokumentirati. Laboratorij treba pratiti valjanost rezultata. Sudjelovanje u međulaboratorijskim usporedbama može biti jedan od alata osiguranja valjanosti. Svaki rezultat mora imati 0 % mjerne nesigurnosti kako bi bio prihvatljiv. Kada se utvrdi nesukladan rad, laboratorij treba reagirati. Sve metode moraju biti međunarodne norme, </w:t>
                            </w:r>
                            <w:r w:rsidR="00EA0947">
                              <w:rPr>
                                <w:color w:val="222A35" w:themeColor="text2" w:themeShade="80"/>
                              </w:rPr>
                              <w:t>vlastite</w:t>
                            </w:r>
                            <w:r w:rsidRPr="006E1AE5">
                              <w:rPr>
                                <w:color w:val="222A35" w:themeColor="text2" w:themeShade="80"/>
                              </w:rPr>
                              <w:t xml:space="preserve"> metode nisu dopuštene.</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46A9C" id="_x0000_s1028" style="position:absolute;margin-left:70.25pt;margin-top:37.05pt;width:444.65pt;height:207.9pt;z-index:251663360;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5647055,2640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" adj="-11796480,,5400" path="m,l5206991,r440064,440064l5647055,2640330,,2640330,,xe" fillcolor="#8496b0 [1951]" stroked="f" strokeweight="1pt">
                <v:fill opacity="13107f" color2="#d5dce4 [671]" o:opacity2="13107f" rotate="t" focus="100%" type="gradient">
                  <o:fill v:ext="view" type="gradientUnscaled"/>
                </v:fill>
                <v:stroke joinstyle="miter"/>
                <v:formulas/>
                <v:path arrowok="t" o:connecttype="custom" o:connectlocs="0,0;5206991,0;5647055,440064;5647055,2640330;0,2640330;0,0" o:connectangles="0,0,0,0,0,0" textboxrect="0,0,5647055,2640330"/>
                <v:textbox inset="18pt,7.2pt,0,7.2pt">
                  <w:txbxContent>
                    <w:p w14:paraId="4C85FB32" w14:textId="72444533" w:rsidR="006E1AE5" w:rsidRDefault="006E1AE5" w:rsidP="006E1AE5">
                      <w:pPr>
                        <w:jc w:val="both"/>
                        <w:rPr>
                          <w:color w:val="222A35" w:themeColor="text2" w:themeShade="80"/>
                        </w:rPr>
                      </w:pPr>
                      <w:r w:rsidRPr="006E1AE5">
                        <w:rPr>
                          <w:color w:val="222A35" w:themeColor="text2" w:themeShade="80"/>
                        </w:rPr>
                        <w:t xml:space="preserve">Laboratorij mora osigurati nepristranost svojih aktivnosti. Povjerljivost informacija klijenata treba štititi. Ako je oprema skupa, nije ju potrebno umjeravati jer proizvođač jamči točnost. Laboratorij treba koristiti validirane ili verificirane metode kada je primjenjivo. Mjerna nesigurnost računa se samo kada rezultat nije dobar. Zapisi trebaju biti čitljivi i dostupni kada je potrebno. Ako zaposlenik ima veliko iskustvo, osposobljavanje nije potrebno dokumentirati. Laboratorij treba pratiti valjanost rezultata. Sudjelovanje u međulaboratorijskim usporedbama može biti jedan od alata osiguranja valjanosti. Svaki rezultat mora imati 0 % mjerne nesigurnosti kako bi bio prihvatljiv. Kada se utvrdi nesukladan rad, laboratorij treba reagirati. Sve metode moraju biti međunarodne norme, </w:t>
                      </w:r>
                      <w:r w:rsidR="00EA0947">
                        <w:rPr>
                          <w:color w:val="222A35" w:themeColor="text2" w:themeShade="80"/>
                        </w:rPr>
                        <w:t>vlastite</w:t>
                      </w:r>
                      <w:r w:rsidRPr="006E1AE5">
                        <w:rPr>
                          <w:color w:val="222A35" w:themeColor="text2" w:themeShade="80"/>
                        </w:rPr>
                        <w:t xml:space="preserve"> metode nisu dopuštene.</w:t>
                      </w:r>
                    </w:p>
                  </w:txbxContent>
                </v:textbox>
                <w10:wrap type="square" anchorx="page" anchory="margin"/>
              </v:shape>
            </w:pict>
          </mc:Fallback>
        </mc:AlternateContent>
      </w:r>
      <w:r>
        <w:rPr>
          <w:rFonts w:ascii="Candara" w:hAnsi="Candara"/>
          <w:b/>
          <w:bCs/>
        </w:rPr>
        <w:t>3.</w:t>
      </w:r>
      <w:r w:rsidRPr="006E1AE5">
        <w:rPr>
          <w:rFonts w:ascii="Candara" w:hAnsi="Candara"/>
          <w:b/>
          <w:bCs/>
        </w:rPr>
        <w:t xml:space="preserve"> </w:t>
      </w:r>
      <w:r>
        <w:rPr>
          <w:rFonts w:ascii="Candara" w:hAnsi="Candara"/>
          <w:b/>
          <w:bCs/>
        </w:rPr>
        <w:t>HRN EN ISO/IEC 17025</w:t>
      </w:r>
    </w:p>
    <w:p w14:paraId="4ACC7DED" w14:textId="7F059C85" w:rsidR="006E1AE5" w:rsidRPr="006E1AE5" w:rsidRDefault="006E1AE5" w:rsidP="006E1AE5">
      <w:pPr>
        <w:rPr>
          <w:rFonts w:cstheme="minorHAnsi"/>
        </w:rPr>
      </w:pPr>
      <w:r w:rsidRPr="006E1AE5">
        <w:rPr>
          <w:rFonts w:ascii="Segoe UI Emoji" w:hAnsi="Segoe UI Emoji" w:cs="Segoe UI Emoji"/>
        </w:rPr>
        <w:t>✅</w:t>
      </w:r>
      <w:r w:rsidRPr="006E1AE5">
        <w:rPr>
          <w:rFonts w:cstheme="minorHAnsi"/>
        </w:rPr>
        <w:t xml:space="preserve"> Točno:</w:t>
      </w:r>
    </w:p>
    <w:p w14:paraId="2A776F79" w14:textId="77777777" w:rsidR="00EA0947" w:rsidRDefault="00EA0947" w:rsidP="0037116D">
      <w:pPr>
        <w:rPr>
          <w:rFonts w:cstheme="minorHAnsi"/>
        </w:rPr>
      </w:pPr>
    </w:p>
    <w:p w14:paraId="22A40D8D" w14:textId="77777777" w:rsidR="0037116D" w:rsidRDefault="0037116D" w:rsidP="0037116D">
      <w:pPr>
        <w:rPr>
          <w:rFonts w:cstheme="minorHAnsi"/>
        </w:rPr>
      </w:pPr>
    </w:p>
    <w:p w14:paraId="049DA0A9" w14:textId="77777777" w:rsidR="0037116D" w:rsidRDefault="0037116D" w:rsidP="0037116D">
      <w:pPr>
        <w:rPr>
          <w:rFonts w:cstheme="minorHAnsi"/>
        </w:rPr>
      </w:pPr>
    </w:p>
    <w:p w14:paraId="7D68B7CC" w14:textId="77777777" w:rsidR="0037116D" w:rsidRDefault="0037116D" w:rsidP="0037116D">
      <w:pPr>
        <w:rPr>
          <w:rFonts w:cstheme="minorHAnsi"/>
        </w:rPr>
      </w:pPr>
    </w:p>
    <w:p w14:paraId="1450CAAC" w14:textId="77777777" w:rsidR="0037116D" w:rsidRDefault="0037116D" w:rsidP="0037116D">
      <w:pPr>
        <w:rPr>
          <w:rFonts w:cstheme="minorHAnsi"/>
        </w:rPr>
      </w:pPr>
    </w:p>
    <w:p w14:paraId="7D8F9414" w14:textId="77777777" w:rsidR="0037116D" w:rsidRDefault="0037116D" w:rsidP="0037116D">
      <w:pPr>
        <w:rPr>
          <w:rFonts w:cstheme="minorHAnsi"/>
        </w:rPr>
      </w:pPr>
    </w:p>
    <w:p w14:paraId="42ABF3A2" w14:textId="77777777" w:rsidR="0037116D" w:rsidRPr="006E1AE5" w:rsidRDefault="0037116D" w:rsidP="0037116D">
      <w:pPr>
        <w:rPr>
          <w:rFonts w:cstheme="minorHAnsi"/>
        </w:rPr>
      </w:pPr>
    </w:p>
    <w:p w14:paraId="1A659541" w14:textId="77777777" w:rsidR="006E1AE5" w:rsidRPr="006E1AE5" w:rsidRDefault="006E1AE5" w:rsidP="006E1AE5">
      <w:pPr>
        <w:rPr>
          <w:rFonts w:cstheme="minorHAnsi"/>
        </w:rPr>
      </w:pPr>
      <w:r w:rsidRPr="006E1AE5">
        <w:rPr>
          <w:rFonts w:ascii="Segoe UI Emoji" w:hAnsi="Segoe UI Emoji" w:cs="Segoe UI Emoji"/>
        </w:rPr>
        <w:t>❌</w:t>
      </w:r>
      <w:r w:rsidRPr="006E1AE5">
        <w:rPr>
          <w:rFonts w:cstheme="minorHAnsi"/>
        </w:rPr>
        <w:t xml:space="preserve"> Netočno / gluposti:</w:t>
      </w:r>
    </w:p>
    <w:p w14:paraId="095A788C" w14:textId="77777777" w:rsidR="00F17B09" w:rsidRDefault="00F17B09" w:rsidP="00355FAD">
      <w:pPr>
        <w:rPr>
          <w:rFonts w:cstheme="minorHAnsi"/>
          <w:b/>
          <w:bCs/>
        </w:rPr>
      </w:pPr>
    </w:p>
    <w:sectPr w:rsidR="00F17B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987F" w14:textId="77777777" w:rsidR="004D307E" w:rsidRDefault="004D307E" w:rsidP="003622DB">
      <w:pPr>
        <w:spacing w:after="0" w:line="240" w:lineRule="auto"/>
      </w:pPr>
      <w:r>
        <w:separator/>
      </w:r>
    </w:p>
  </w:endnote>
  <w:endnote w:type="continuationSeparator" w:id="0">
    <w:p w14:paraId="1F615B6D" w14:textId="77777777" w:rsidR="004D307E" w:rsidRDefault="004D307E" w:rsidP="0036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05D" w14:textId="77777777" w:rsidR="0001397F" w:rsidRDefault="0001397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Look w:val="04A0" w:firstRow="1" w:lastRow="0" w:firstColumn="1" w:lastColumn="0" w:noHBand="0" w:noVBand="1"/>
    </w:tblPr>
    <w:tblGrid>
      <w:gridCol w:w="4962"/>
      <w:gridCol w:w="4100"/>
    </w:tblGrid>
    <w:tr w:rsidR="003622DB" w14:paraId="3DF15502" w14:textId="77777777" w:rsidTr="003622DB">
      <w:tc>
        <w:tcPr>
          <w:tcW w:w="4962" w:type="dxa"/>
          <w:tcBorders>
            <w:top w:val="nil"/>
            <w:left w:val="nil"/>
            <w:bottom w:val="nil"/>
            <w:right w:val="nil"/>
          </w:tcBorders>
        </w:tcPr>
        <w:p w14:paraId="04024EA9" w14:textId="3D40CA7D" w:rsidR="003622DB" w:rsidRPr="003622DB" w:rsidRDefault="006E1AE5" w:rsidP="003622DB">
          <w:pPr>
            <w:pStyle w:val="Zaglavlje"/>
            <w:rPr>
              <w:rFonts w:ascii="Cavolini" w:hAnsi="Cavolini" w:cs="Cavolini"/>
              <w:b/>
              <w:bCs/>
            </w:rPr>
          </w:pPr>
          <w:r>
            <w:rPr>
              <w:rFonts w:ascii="Cavolini" w:hAnsi="Cavolini" w:cs="Cavolini"/>
              <w:b/>
              <w:bCs/>
            </w:rPr>
            <w:t>Zadatak</w:t>
          </w:r>
          <w:r w:rsidR="003622DB" w:rsidRPr="003622DB">
            <w:rPr>
              <w:rFonts w:ascii="Cavolini" w:hAnsi="Cavolini" w:cs="Cavolini"/>
              <w:b/>
              <w:bCs/>
            </w:rPr>
            <w:t xml:space="preserve"> br.</w:t>
          </w:r>
          <w:r>
            <w:rPr>
              <w:rFonts w:ascii="Cavolini" w:hAnsi="Cavolini" w:cs="Cavolini"/>
              <w:b/>
              <w:bCs/>
            </w:rPr>
            <w:t>1</w:t>
          </w:r>
        </w:p>
      </w:tc>
      <w:tc>
        <w:tcPr>
          <w:tcW w:w="4100" w:type="dxa"/>
          <w:tcBorders>
            <w:top w:val="nil"/>
            <w:left w:val="nil"/>
            <w:bottom w:val="nil"/>
            <w:right w:val="nil"/>
          </w:tcBorders>
          <w:vAlign w:val="center"/>
        </w:tcPr>
        <w:p w14:paraId="16F48725" w14:textId="4114CDCF" w:rsidR="003622DB" w:rsidRPr="003622DB" w:rsidRDefault="003622DB" w:rsidP="003622DB">
          <w:pPr>
            <w:pStyle w:val="Zaglavlje"/>
            <w:jc w:val="right"/>
            <w:rPr>
              <w:rFonts w:ascii="Cavolini" w:hAnsi="Cavolini" w:cs="Cavolini"/>
              <w:sz w:val="20"/>
              <w:szCs w:val="20"/>
            </w:rPr>
          </w:pPr>
          <w:r w:rsidRPr="003622DB">
            <w:rPr>
              <w:rFonts w:ascii="Cavolini" w:hAnsi="Cavolini" w:cs="Cavolini"/>
              <w:sz w:val="20"/>
              <w:szCs w:val="20"/>
            </w:rPr>
            <w:t>Str.</w:t>
          </w:r>
          <w:r w:rsidRPr="003622DB">
            <w:rPr>
              <w:rFonts w:ascii="Cavolini" w:hAnsi="Cavolini" w:cs="Cavolini"/>
              <w:sz w:val="20"/>
              <w:szCs w:val="20"/>
            </w:rPr>
            <w:fldChar w:fldCharType="begin"/>
          </w:r>
          <w:r w:rsidRPr="003622DB">
            <w:rPr>
              <w:rFonts w:ascii="Cavolini" w:hAnsi="Cavolini" w:cs="Cavolini"/>
              <w:sz w:val="20"/>
              <w:szCs w:val="20"/>
            </w:rPr>
            <w:instrText>PAGE   \* MERGEFORMAT</w:instrText>
          </w:r>
          <w:r w:rsidRPr="003622DB">
            <w:rPr>
              <w:rFonts w:ascii="Cavolini" w:hAnsi="Cavolini" w:cs="Cavolini"/>
              <w:sz w:val="20"/>
              <w:szCs w:val="20"/>
            </w:rPr>
            <w:fldChar w:fldCharType="separate"/>
          </w:r>
          <w:r w:rsidRPr="003622DB">
            <w:rPr>
              <w:rFonts w:ascii="Cavolini" w:hAnsi="Cavolini" w:cs="Cavolini"/>
              <w:sz w:val="20"/>
              <w:szCs w:val="20"/>
            </w:rPr>
            <w:t>1</w:t>
          </w:r>
          <w:r w:rsidRPr="003622DB">
            <w:rPr>
              <w:rFonts w:ascii="Cavolini" w:hAnsi="Cavolini" w:cs="Cavolini"/>
              <w:sz w:val="20"/>
              <w:szCs w:val="20"/>
            </w:rPr>
            <w:fldChar w:fldCharType="end"/>
          </w:r>
        </w:p>
      </w:tc>
    </w:tr>
  </w:tbl>
  <w:p w14:paraId="368898E7" w14:textId="77777777" w:rsidR="003622DB" w:rsidRPr="003622DB" w:rsidRDefault="003622DB">
    <w:pPr>
      <w:pStyle w:val="Podnoj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8170" w14:textId="77777777" w:rsidR="0001397F" w:rsidRDefault="000139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604C" w14:textId="77777777" w:rsidR="004D307E" w:rsidRDefault="004D307E" w:rsidP="003622DB">
      <w:pPr>
        <w:spacing w:after="0" w:line="240" w:lineRule="auto"/>
      </w:pPr>
      <w:r>
        <w:separator/>
      </w:r>
    </w:p>
  </w:footnote>
  <w:footnote w:type="continuationSeparator" w:id="0">
    <w:p w14:paraId="37D49021" w14:textId="77777777" w:rsidR="004D307E" w:rsidRDefault="004D307E" w:rsidP="0036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9BAE" w14:textId="77777777" w:rsidR="0001397F" w:rsidRDefault="000139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Look w:val="04A0" w:firstRow="1" w:lastRow="0" w:firstColumn="1" w:lastColumn="0" w:noHBand="0" w:noVBand="1"/>
    </w:tblPr>
    <w:tblGrid>
      <w:gridCol w:w="1701"/>
      <w:gridCol w:w="7361"/>
    </w:tblGrid>
    <w:tr w:rsidR="003622DB" w14:paraId="42261021" w14:textId="77777777" w:rsidTr="003622DB">
      <w:tc>
        <w:tcPr>
          <w:tcW w:w="1701" w:type="dxa"/>
          <w:tcBorders>
            <w:top w:val="nil"/>
            <w:left w:val="nil"/>
            <w:bottom w:val="nil"/>
            <w:right w:val="nil"/>
          </w:tcBorders>
        </w:tcPr>
        <w:p w14:paraId="3FBD3F33" w14:textId="6FFB8799" w:rsidR="003622DB" w:rsidRDefault="003622DB">
          <w:pPr>
            <w:pStyle w:val="Zaglavlje"/>
          </w:pPr>
          <w:r>
            <w:rPr>
              <w:noProof/>
            </w:rPr>
            <w:drawing>
              <wp:inline distT="0" distB="0" distL="0" distR="0" wp14:anchorId="1F8DE994" wp14:editId="224682F2">
                <wp:extent cx="828675" cy="490990"/>
                <wp:effectExtent l="0" t="0" r="0" b="4445"/>
                <wp:docPr id="1918132306" name="Slika 1" descr="H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387" cy="493190"/>
                        </a:xfrm>
                        <a:prstGeom prst="rect">
                          <a:avLst/>
                        </a:prstGeom>
                        <a:noFill/>
                        <a:ln>
                          <a:noFill/>
                        </a:ln>
                      </pic:spPr>
                    </pic:pic>
                  </a:graphicData>
                </a:graphic>
              </wp:inline>
            </w:drawing>
          </w:r>
        </w:p>
      </w:tc>
      <w:tc>
        <w:tcPr>
          <w:tcW w:w="7361" w:type="dxa"/>
          <w:tcBorders>
            <w:top w:val="nil"/>
            <w:left w:val="nil"/>
            <w:bottom w:val="nil"/>
            <w:right w:val="nil"/>
          </w:tcBorders>
          <w:vAlign w:val="center"/>
        </w:tcPr>
        <w:p w14:paraId="3F95F9EB" w14:textId="77777777" w:rsidR="003622DB" w:rsidRPr="003622DB" w:rsidRDefault="003622DB" w:rsidP="003622DB">
          <w:pPr>
            <w:pStyle w:val="Zaglavlje"/>
            <w:rPr>
              <w:rFonts w:ascii="Cavolini" w:hAnsi="Cavolini" w:cs="Cavolini"/>
              <w:sz w:val="20"/>
              <w:szCs w:val="20"/>
            </w:rPr>
          </w:pPr>
          <w:r w:rsidRPr="003622DB">
            <w:rPr>
              <w:rFonts w:ascii="Cavolini" w:hAnsi="Cavolini" w:cs="Cavolini"/>
              <w:sz w:val="20"/>
              <w:szCs w:val="20"/>
            </w:rPr>
            <w:t>11. Bienalno savjetovanje</w:t>
          </w:r>
        </w:p>
        <w:p w14:paraId="6AA75CE4" w14:textId="39DF9F38" w:rsidR="003622DB" w:rsidRPr="003622DB" w:rsidRDefault="003622DB" w:rsidP="003622DB">
          <w:pPr>
            <w:pStyle w:val="Zaglavlje"/>
            <w:rPr>
              <w:rFonts w:ascii="Cavolini" w:hAnsi="Cavolini" w:cs="Cavolini"/>
              <w:sz w:val="20"/>
              <w:szCs w:val="20"/>
            </w:rPr>
          </w:pPr>
          <w:r w:rsidRPr="003622DB">
            <w:rPr>
              <w:rFonts w:ascii="Cavolini" w:hAnsi="Cavolini" w:cs="Cavolini"/>
              <w:sz w:val="20"/>
              <w:szCs w:val="20"/>
            </w:rPr>
            <w:t>Suvremeni izazov</w:t>
          </w:r>
          <w:r w:rsidR="0001397F">
            <w:rPr>
              <w:rFonts w:ascii="Cavolini" w:hAnsi="Cavolini" w:cs="Cavolini"/>
              <w:sz w:val="20"/>
              <w:szCs w:val="20"/>
            </w:rPr>
            <w:t>i</w:t>
          </w:r>
          <w:r w:rsidRPr="003622DB">
            <w:rPr>
              <w:rFonts w:ascii="Cavolini" w:hAnsi="Cavolini" w:cs="Cavolini"/>
              <w:sz w:val="20"/>
              <w:szCs w:val="20"/>
            </w:rPr>
            <w:t xml:space="preserve"> u laboratorijima i mjeriteljstvu</w:t>
          </w:r>
        </w:p>
        <w:p w14:paraId="5A2E6D5B" w14:textId="3CF01BDF" w:rsidR="003622DB" w:rsidRDefault="003622DB" w:rsidP="003622DB">
          <w:pPr>
            <w:pStyle w:val="Zaglavlje"/>
          </w:pPr>
          <w:r w:rsidRPr="003622DB">
            <w:rPr>
              <w:rFonts w:ascii="Cavolini" w:hAnsi="Cavolini" w:cs="Cavolini"/>
              <w:sz w:val="20"/>
              <w:szCs w:val="20"/>
            </w:rPr>
            <w:t>Korištenje AI u održavanju i unaprjeđivanju sustava upravljanja</w:t>
          </w:r>
        </w:p>
      </w:tc>
    </w:tr>
  </w:tbl>
  <w:p w14:paraId="770209AA" w14:textId="77777777" w:rsidR="003622DB" w:rsidRDefault="003622D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6900" w14:textId="77777777" w:rsidR="0001397F" w:rsidRDefault="000139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5DCB"/>
    <w:multiLevelType w:val="multilevel"/>
    <w:tmpl w:val="02C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D0C9E"/>
    <w:multiLevelType w:val="multilevel"/>
    <w:tmpl w:val="670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53D01"/>
    <w:multiLevelType w:val="multilevel"/>
    <w:tmpl w:val="3BA8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D2D5F"/>
    <w:multiLevelType w:val="multilevel"/>
    <w:tmpl w:val="9DD6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9394B"/>
    <w:multiLevelType w:val="hybridMultilevel"/>
    <w:tmpl w:val="5956BE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6C0505"/>
    <w:multiLevelType w:val="multilevel"/>
    <w:tmpl w:val="9D2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261B6"/>
    <w:multiLevelType w:val="multilevel"/>
    <w:tmpl w:val="A21E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15874">
    <w:abstractNumId w:val="4"/>
  </w:num>
  <w:num w:numId="2" w16cid:durableId="681400274">
    <w:abstractNumId w:val="3"/>
  </w:num>
  <w:num w:numId="3" w16cid:durableId="345062721">
    <w:abstractNumId w:val="2"/>
  </w:num>
  <w:num w:numId="4" w16cid:durableId="626354744">
    <w:abstractNumId w:val="5"/>
  </w:num>
  <w:num w:numId="5" w16cid:durableId="973219669">
    <w:abstractNumId w:val="1"/>
  </w:num>
  <w:num w:numId="6" w16cid:durableId="350113736">
    <w:abstractNumId w:val="0"/>
  </w:num>
  <w:num w:numId="7" w16cid:durableId="120023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DB"/>
    <w:rsid w:val="0001397F"/>
    <w:rsid w:val="00030695"/>
    <w:rsid w:val="00063CD8"/>
    <w:rsid w:val="000D20FE"/>
    <w:rsid w:val="001E6A8C"/>
    <w:rsid w:val="002852B2"/>
    <w:rsid w:val="002C7E9C"/>
    <w:rsid w:val="002E7A9F"/>
    <w:rsid w:val="002F3655"/>
    <w:rsid w:val="00323354"/>
    <w:rsid w:val="00355FAD"/>
    <w:rsid w:val="003622DB"/>
    <w:rsid w:val="0037116D"/>
    <w:rsid w:val="00446271"/>
    <w:rsid w:val="004D307E"/>
    <w:rsid w:val="004E6FBA"/>
    <w:rsid w:val="0050324D"/>
    <w:rsid w:val="005B7336"/>
    <w:rsid w:val="006E1AE5"/>
    <w:rsid w:val="007165D8"/>
    <w:rsid w:val="00826796"/>
    <w:rsid w:val="00851FA3"/>
    <w:rsid w:val="00882D25"/>
    <w:rsid w:val="008E5113"/>
    <w:rsid w:val="008F7C6A"/>
    <w:rsid w:val="009B50A6"/>
    <w:rsid w:val="00A06596"/>
    <w:rsid w:val="00A31B7E"/>
    <w:rsid w:val="00A84159"/>
    <w:rsid w:val="00AB5E72"/>
    <w:rsid w:val="00AD2355"/>
    <w:rsid w:val="00BB06B5"/>
    <w:rsid w:val="00C86D79"/>
    <w:rsid w:val="00E37C08"/>
    <w:rsid w:val="00E541F5"/>
    <w:rsid w:val="00E7242E"/>
    <w:rsid w:val="00EA0947"/>
    <w:rsid w:val="00ED7C59"/>
    <w:rsid w:val="00F17B09"/>
    <w:rsid w:val="00F702E4"/>
    <w:rsid w:val="00FB0BDD"/>
    <w:rsid w:val="00FD3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A5A0"/>
  <w15:chartTrackingRefBased/>
  <w15:docId w15:val="{7CEBA450-E99D-43C8-B9DA-963643B6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62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62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622D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622D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622D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622D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22D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22D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22D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22D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622D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622D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622D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622D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622D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22D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22D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22DB"/>
    <w:rPr>
      <w:rFonts w:eastAsiaTheme="majorEastAsia" w:cstheme="majorBidi"/>
      <w:color w:val="272727" w:themeColor="text1" w:themeTint="D8"/>
    </w:rPr>
  </w:style>
  <w:style w:type="paragraph" w:styleId="Naslov">
    <w:name w:val="Title"/>
    <w:basedOn w:val="Normal"/>
    <w:next w:val="Normal"/>
    <w:link w:val="NaslovChar"/>
    <w:uiPriority w:val="10"/>
    <w:qFormat/>
    <w:rsid w:val="0036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22D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22D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22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22DB"/>
    <w:pPr>
      <w:spacing w:before="160"/>
      <w:jc w:val="center"/>
    </w:pPr>
    <w:rPr>
      <w:i/>
      <w:iCs/>
      <w:color w:val="404040" w:themeColor="text1" w:themeTint="BF"/>
    </w:rPr>
  </w:style>
  <w:style w:type="character" w:customStyle="1" w:styleId="CitatChar">
    <w:name w:val="Citat Char"/>
    <w:basedOn w:val="Zadanifontodlomka"/>
    <w:link w:val="Citat"/>
    <w:uiPriority w:val="29"/>
    <w:rsid w:val="003622DB"/>
    <w:rPr>
      <w:i/>
      <w:iCs/>
      <w:color w:val="404040" w:themeColor="text1" w:themeTint="BF"/>
    </w:rPr>
  </w:style>
  <w:style w:type="paragraph" w:styleId="Odlomakpopisa">
    <w:name w:val="List Paragraph"/>
    <w:basedOn w:val="Normal"/>
    <w:uiPriority w:val="34"/>
    <w:qFormat/>
    <w:rsid w:val="003622DB"/>
    <w:pPr>
      <w:ind w:left="720"/>
      <w:contextualSpacing/>
    </w:pPr>
  </w:style>
  <w:style w:type="character" w:styleId="Jakoisticanje">
    <w:name w:val="Intense Emphasis"/>
    <w:basedOn w:val="Zadanifontodlomka"/>
    <w:uiPriority w:val="21"/>
    <w:qFormat/>
    <w:rsid w:val="003622DB"/>
    <w:rPr>
      <w:i/>
      <w:iCs/>
      <w:color w:val="2F5496" w:themeColor="accent1" w:themeShade="BF"/>
    </w:rPr>
  </w:style>
  <w:style w:type="paragraph" w:styleId="Naglaencitat">
    <w:name w:val="Intense Quote"/>
    <w:basedOn w:val="Normal"/>
    <w:next w:val="Normal"/>
    <w:link w:val="NaglaencitatChar"/>
    <w:uiPriority w:val="30"/>
    <w:qFormat/>
    <w:rsid w:val="00362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622DB"/>
    <w:rPr>
      <w:i/>
      <w:iCs/>
      <w:color w:val="2F5496" w:themeColor="accent1" w:themeShade="BF"/>
    </w:rPr>
  </w:style>
  <w:style w:type="character" w:styleId="Istaknutareferenca">
    <w:name w:val="Intense Reference"/>
    <w:basedOn w:val="Zadanifontodlomka"/>
    <w:uiPriority w:val="32"/>
    <w:qFormat/>
    <w:rsid w:val="003622DB"/>
    <w:rPr>
      <w:b/>
      <w:bCs/>
      <w:smallCaps/>
      <w:color w:val="2F5496" w:themeColor="accent1" w:themeShade="BF"/>
      <w:spacing w:val="5"/>
    </w:rPr>
  </w:style>
  <w:style w:type="paragraph" w:styleId="Zaglavlje">
    <w:name w:val="header"/>
    <w:basedOn w:val="Normal"/>
    <w:link w:val="ZaglavljeChar"/>
    <w:uiPriority w:val="99"/>
    <w:unhideWhenUsed/>
    <w:rsid w:val="003622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22DB"/>
  </w:style>
  <w:style w:type="paragraph" w:styleId="Podnoje">
    <w:name w:val="footer"/>
    <w:basedOn w:val="Normal"/>
    <w:link w:val="PodnojeChar"/>
    <w:uiPriority w:val="99"/>
    <w:unhideWhenUsed/>
    <w:rsid w:val="003622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22DB"/>
  </w:style>
  <w:style w:type="table" w:styleId="Reetkatablice">
    <w:name w:val="Table Grid"/>
    <w:basedOn w:val="Obinatablica"/>
    <w:uiPriority w:val="39"/>
    <w:rsid w:val="0036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Words>
  <Characters>111</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Grgić</dc:creator>
  <cp:keywords/>
  <dc:description/>
  <cp:lastModifiedBy>Zlatko Grgić</cp:lastModifiedBy>
  <cp:revision>3</cp:revision>
  <dcterms:created xsi:type="dcterms:W3CDTF">2026-04-21T19:21:00Z</dcterms:created>
  <dcterms:modified xsi:type="dcterms:W3CDTF">2026-04-27T16:13:00Z</dcterms:modified>
</cp:coreProperties>
</file>